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bookmarkStart w:id="0" w:name="_GoBack"/>
      <w:bookmarkEnd w:id="0"/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</w:t>
      </w:r>
      <w:proofErr w:type="gramStart"/>
      <w:r w:rsidRPr="00E10E9A">
        <w:rPr>
          <w:color w:val="000000"/>
        </w:rPr>
        <w:t>стоимости оплаты труда граждан Республики</w:t>
      </w:r>
      <w:proofErr w:type="gramEnd"/>
      <w:r w:rsidRPr="00E10E9A">
        <w:rPr>
          <w:color w:val="000000"/>
        </w:rPr>
        <w:t xml:space="preserve">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 xml:space="preserve">- Счет-фактура </w:t>
      </w:r>
      <w:r w:rsidR="002413CB" w:rsidRPr="00E10E9A">
        <w:rPr>
          <w:b w:val="0"/>
          <w:color w:val="000000"/>
        </w:rPr>
        <w:t>(для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Акт приема – передачи товара </w:t>
      </w:r>
      <w:r w:rsidRPr="00E10E9A">
        <w:rPr>
          <w:b w:val="0"/>
          <w:color w:val="000000"/>
        </w:rPr>
        <w:t>(</w:t>
      </w:r>
      <w:r w:rsidR="00EB56C1" w:rsidRPr="00E10E9A">
        <w:rPr>
          <w:b w:val="0"/>
          <w:color w:val="000000"/>
        </w:rPr>
        <w:t>для осуществления предоплаты не предоставляются</w:t>
      </w:r>
      <w:r w:rsidRPr="00E10E9A">
        <w:rPr>
          <w:b w:val="0"/>
          <w:color w:val="000000"/>
        </w:rPr>
        <w:t>);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</w:pPr>
            <w:r w:rsidRPr="00E10E9A">
              <w:t>«Заказчик»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t>060011, г</w:t>
              </w:r>
            </w:smartTag>
            <w:r w:rsidRPr="00E10E9A">
              <w:t xml:space="preserve">. Атырау, </w:t>
            </w:r>
            <w:r w:rsidR="00825C86" w:rsidRPr="00E10E9A">
              <w:t xml:space="preserve">пр. </w:t>
            </w:r>
            <w:proofErr w:type="spellStart"/>
            <w:r w:rsidR="00825C86" w:rsidRPr="00E10E9A">
              <w:t>Абулхаир</w:t>
            </w:r>
            <w:proofErr w:type="spellEnd"/>
            <w:r w:rsidR="00825C86" w:rsidRPr="00E10E9A">
              <w:t xml:space="preserve"> Хана 2</w:t>
            </w:r>
            <w:r w:rsidRPr="00E10E9A">
              <w:t>.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тел/факс. </w:t>
            </w:r>
            <w:r w:rsidR="00825C86" w:rsidRPr="00E10E9A">
              <w:t xml:space="preserve">8 </w:t>
            </w:r>
            <w:r w:rsidRPr="00E10E9A"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БИН 961040000040</w:t>
            </w:r>
            <w:r w:rsidR="00825C86" w:rsidRPr="00E10E9A">
              <w:rPr>
                <w:noProof/>
              </w:rPr>
              <w:t xml:space="preserve"> </w:t>
            </w:r>
          </w:p>
          <w:p w:rsidR="00FA6207" w:rsidRPr="00E10E9A" w:rsidRDefault="00FA6207" w:rsidP="00FA6207">
            <w:pPr>
              <w:jc w:val="both"/>
            </w:pPr>
            <w:r w:rsidRPr="00E10E9A">
              <w:t xml:space="preserve">ИИК </w:t>
            </w:r>
            <w:r w:rsidRPr="00E10E9A">
              <w:rPr>
                <w:lang w:val="en-US"/>
              </w:rPr>
              <w:t>KZ</w:t>
            </w:r>
            <w:r w:rsidRPr="00E10E9A"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lang w:val="kk-KZ"/>
              </w:rPr>
            </w:pPr>
            <w:r w:rsidRPr="00E10E9A">
              <w:t xml:space="preserve">в </w:t>
            </w:r>
            <w:proofErr w:type="spellStart"/>
            <w:r w:rsidRPr="00E10E9A">
              <w:t>Атырауском</w:t>
            </w:r>
            <w:proofErr w:type="spellEnd"/>
            <w:r w:rsidRPr="00E10E9A"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</w:pPr>
            <w:r w:rsidRPr="00E10E9A"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</w:pPr>
            <w:r w:rsidRPr="00E10E9A">
              <w:t xml:space="preserve">БИК </w:t>
            </w:r>
            <w:r w:rsidRPr="00E10E9A">
              <w:rPr>
                <w:lang w:val="en-US"/>
              </w:rPr>
              <w:t>HSBKKZKX</w:t>
            </w:r>
            <w:r w:rsidRPr="00E10E9A">
              <w:t>, код 17</w:t>
            </w:r>
            <w:r w:rsidR="0025440F" w:rsidRPr="00E10E9A"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</w:pPr>
            <w:r w:rsidRPr="00E10E9A">
              <w:t>«</w:t>
            </w:r>
            <w:r w:rsidR="004744A6" w:rsidRPr="00E10E9A">
              <w:t>Поставщик</w:t>
            </w:r>
            <w:r w:rsidRPr="00E10E9A">
              <w:t>»</w:t>
            </w:r>
          </w:p>
          <w:p w:rsidR="0025440F" w:rsidRPr="00E10E9A" w:rsidRDefault="0025440F" w:rsidP="00BD0C18">
            <w:pPr>
              <w:jc w:val="both"/>
            </w:pPr>
            <w:r w:rsidRPr="00E10E9A"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</w:rPr>
            </w:pPr>
          </w:p>
          <w:p w:rsidR="0025440F" w:rsidRPr="00E10E9A" w:rsidRDefault="00D33DC8" w:rsidP="00BD0C18">
            <w:pPr>
              <w:jc w:val="both"/>
            </w:pPr>
            <w:r w:rsidRPr="00E10E9A">
              <w:rPr>
                <w:noProof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№ </w:t>
            </w:r>
            <w:proofErr w:type="gramStart"/>
            <w:r w:rsidRPr="00E10E9A">
              <w:rPr>
                <w:color w:val="000000"/>
              </w:rPr>
              <w:t>п</w:t>
            </w:r>
            <w:proofErr w:type="gramEnd"/>
            <w:r w:rsidRPr="00E10E9A">
              <w:rPr>
                <w:color w:val="000000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  <w:r w:rsidRPr="00E10E9A">
              <w:rPr>
                <w:color w:val="000000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и характеристик</w:t>
            </w:r>
            <w:r w:rsidR="004C2F97">
              <w:rPr>
                <w:color w:val="000000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Мес</w:t>
            </w:r>
            <w:r w:rsidR="0037664F">
              <w:rPr>
                <w:color w:val="000000"/>
              </w:rPr>
              <w:t xml:space="preserve">то поставки и условия поставки и </w:t>
            </w:r>
            <w:r w:rsidRPr="00E10E9A">
              <w:rPr>
                <w:color w:val="000000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</w:rPr>
              <w:t>с</w:t>
            </w:r>
            <w:proofErr w:type="gramEnd"/>
            <w:r w:rsidRPr="00E10E9A">
              <w:rPr>
                <w:color w:val="000000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</w:rPr>
            </w:pPr>
            <w:r w:rsidRPr="00E10E9A">
              <w:rPr>
                <w:color w:val="000000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</w:rPr>
              <w:t>с</w:t>
            </w:r>
            <w:proofErr w:type="gramEnd"/>
            <w:r w:rsidRPr="00E10E9A">
              <w:rPr>
                <w:color w:val="000000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</w:pPr>
            <w:r w:rsidRPr="00E10E9A">
              <w:t>«Заказчик»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  <w:r w:rsidRPr="00E10E9A">
              <w:rPr>
                <w:noProof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</w:pPr>
            <w:r w:rsidRPr="00E10E9A">
              <w:t>«Поставщик»</w:t>
            </w:r>
          </w:p>
          <w:p w:rsidR="00AB4B9B" w:rsidRPr="00E10E9A" w:rsidRDefault="00AB4B9B" w:rsidP="003E5E8A">
            <w:pPr>
              <w:jc w:val="both"/>
            </w:pPr>
            <w:r w:rsidRPr="00E10E9A"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</w:rPr>
            </w:pPr>
          </w:p>
          <w:p w:rsidR="00AB4B9B" w:rsidRPr="00E10E9A" w:rsidRDefault="00AB4B9B" w:rsidP="003E5E8A">
            <w:pPr>
              <w:jc w:val="both"/>
            </w:pPr>
            <w:r w:rsidRPr="00E10E9A">
              <w:rPr>
                <w:noProof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r w:rsidRPr="00C055AA">
        <w:rPr>
          <w:spacing w:val="2"/>
          <w:shd w:val="clear" w:color="auto" w:fill="FFFFFF"/>
        </w:rPr>
        <w:t>в </w:t>
      </w:r>
      <w:hyperlink r:id="rId9" w:anchor="z15" w:history="1">
        <w:r w:rsidRPr="00C055AA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055AA">
        <w:rPr>
          <w:rStyle w:val="apple-converted-space"/>
          <w:spacing w:val="2"/>
          <w:shd w:val="clear" w:color="auto" w:fill="FFFFFF"/>
        </w:rPr>
        <w:t> </w:t>
      </w:r>
      <w:r w:rsidRPr="00C055AA">
        <w:rPr>
          <w:spacing w:val="2"/>
          <w:shd w:val="clear" w:color="auto" w:fill="FFFFFF"/>
        </w:rPr>
        <w:t>о происхождении товара формы «СТ-КZ»</w:t>
      </w:r>
      <w:r w:rsidRPr="00C055AA">
        <w:t>;</w:t>
      </w:r>
      <w:r w:rsidRPr="00C055AA">
        <w:br/>
        <w:t>     </w:t>
      </w:r>
      <w:r w:rsidRPr="00C055AA">
        <w:rPr>
          <w:lang w:val="kk-KZ"/>
        </w:rPr>
        <w:t xml:space="preserve"> </w:t>
      </w:r>
      <w:proofErr w:type="spellStart"/>
      <w:r w:rsidRPr="00C055AA">
        <w:rPr>
          <w:spacing w:val="2"/>
          <w:shd w:val="clear" w:color="auto" w:fill="FFFFFF"/>
        </w:rPr>
        <w:t>Мi</w:t>
      </w:r>
      <w:proofErr w:type="spellEnd"/>
      <w:r w:rsidRPr="00C055AA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055AA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055AA">
        <w:rPr>
          <w:rStyle w:val="apple-converted-space"/>
          <w:spacing w:val="2"/>
          <w:shd w:val="clear" w:color="auto" w:fill="FFFFFF"/>
        </w:rPr>
        <w:t> </w:t>
      </w:r>
      <w:r w:rsidRPr="00C055AA">
        <w:rPr>
          <w:spacing w:val="2"/>
          <w:shd w:val="clear" w:color="auto" w:fill="FFFFFF"/>
        </w:rPr>
        <w:t>о происхо</w:t>
      </w:r>
      <w:r w:rsidRPr="0058349B">
        <w:rPr>
          <w:spacing w:val="2"/>
          <w:shd w:val="clear" w:color="auto" w:fill="FFFFFF"/>
        </w:rPr>
        <w:t>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3A" w:rsidRDefault="00260A3A" w:rsidP="00CC205B">
      <w:r>
        <w:separator/>
      </w:r>
    </w:p>
  </w:endnote>
  <w:endnote w:type="continuationSeparator" w:id="0">
    <w:p w:rsidR="00260A3A" w:rsidRDefault="00260A3A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3A" w:rsidRDefault="00260A3A" w:rsidP="00CC205B">
      <w:r>
        <w:separator/>
      </w:r>
    </w:p>
  </w:footnote>
  <w:footnote w:type="continuationSeparator" w:id="0">
    <w:p w:rsidR="00260A3A" w:rsidRDefault="00260A3A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60A3A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238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55AA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2EA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Nazgul</cp:lastModifiedBy>
  <cp:revision>2</cp:revision>
  <cp:lastPrinted>2014-12-29T06:29:00Z</cp:lastPrinted>
  <dcterms:created xsi:type="dcterms:W3CDTF">2016-06-03T11:52:00Z</dcterms:created>
  <dcterms:modified xsi:type="dcterms:W3CDTF">2016-06-03T11:52:00Z</dcterms:modified>
</cp:coreProperties>
</file>