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</w:t>
      </w:r>
      <w:r w:rsidR="00451635" w:rsidRPr="00452F6F">
        <w:t>Правилами закупок товаров, работ и услуг</w:t>
      </w:r>
      <w:proofErr w:type="gramEnd"/>
      <w:r w:rsidR="00451635" w:rsidRPr="00452F6F">
        <w:t xml:space="preserve"> акционерным обществом «Фонд национального благосостояния «</w:t>
      </w:r>
      <w:proofErr w:type="spellStart"/>
      <w:r w:rsidR="00451635" w:rsidRPr="00452F6F">
        <w:t>Самру</w:t>
      </w:r>
      <w:proofErr w:type="gramStart"/>
      <w:r w:rsidR="00451635" w:rsidRPr="00452F6F">
        <w:t>к</w:t>
      </w:r>
      <w:proofErr w:type="spellEnd"/>
      <w:r w:rsidR="00451635" w:rsidRPr="00452F6F">
        <w:t>-</w:t>
      </w:r>
      <w:proofErr w:type="gramEnd"/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bCs/>
          <w:caps/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(приложение № 12 к Протоколу Совета директоров № 80 от 26 мая 2012 года) (далее – Правила)</w:t>
      </w:r>
      <w:r w:rsidR="00451635" w:rsidRPr="0058349B">
        <w:t xml:space="preserve"> </w:t>
      </w:r>
      <w:r w:rsidR="004A10A1" w:rsidRPr="00451635">
        <w:t>и</w:t>
      </w:r>
      <w:r w:rsidR="004A10A1" w:rsidRPr="005C35D8">
        <w:t xml:space="preserve">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>№</w:t>
      </w:r>
      <w:r w:rsidR="00560880">
        <w:rPr>
          <w:snapToGrid w:val="0"/>
          <w:lang w:val="kk-KZ"/>
        </w:rPr>
        <w:t xml:space="preserve"> </w:t>
      </w:r>
      <w:r w:rsidR="00D7475E" w:rsidRPr="005C35D8">
        <w:rPr>
          <w:snapToGrid w:val="0"/>
        </w:rPr>
        <w:t xml:space="preserve">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proofErr w:type="gramStart"/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  <w:proofErr w:type="gramEnd"/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="00560880">
        <w:rPr>
          <w:lang w:val="kk-KZ"/>
        </w:rPr>
        <w:t xml:space="preserve"> 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lastRenderedPageBreak/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</w:t>
      </w:r>
      <w:r w:rsidR="005A15E2" w:rsidRPr="005406A6">
        <w:rPr>
          <w:spacing w:val="-1"/>
        </w:rPr>
        <w:t>по</w:t>
      </w:r>
      <w:r w:rsidR="005A15E2" w:rsidRPr="005406A6">
        <w:rPr>
          <w:spacing w:val="32"/>
        </w:rPr>
        <w:t xml:space="preserve"> </w:t>
      </w:r>
      <w:r w:rsidR="005A15E2">
        <w:t>требованию</w:t>
      </w:r>
      <w:r w:rsidR="005A15E2" w:rsidRPr="005406A6">
        <w:rPr>
          <w:spacing w:val="27"/>
          <w:w w:val="99"/>
        </w:rPr>
        <w:t xml:space="preserve"> </w:t>
      </w:r>
      <w:r w:rsidR="005A15E2" w:rsidRPr="0058349B">
        <w:rPr>
          <w:snapToGrid w:val="0"/>
        </w:rPr>
        <w:t>Заказчик</w:t>
      </w:r>
      <w:r w:rsidR="005A15E2">
        <w:t xml:space="preserve">а </w:t>
      </w:r>
      <w:r w:rsidR="005A15E2" w:rsidRPr="005406A6">
        <w:t>в</w:t>
      </w:r>
      <w:r w:rsidR="005A15E2" w:rsidRPr="005406A6">
        <w:rPr>
          <w:spacing w:val="-5"/>
        </w:rPr>
        <w:t xml:space="preserve"> </w:t>
      </w:r>
      <w:r w:rsidR="005A15E2" w:rsidRPr="005406A6">
        <w:t>установленные</w:t>
      </w:r>
      <w:r w:rsidR="005A15E2" w:rsidRPr="005406A6">
        <w:rPr>
          <w:spacing w:val="-8"/>
        </w:rPr>
        <w:t xml:space="preserve"> </w:t>
      </w:r>
      <w:r w:rsidR="005A15E2" w:rsidRPr="005406A6">
        <w:t>в</w:t>
      </w:r>
      <w:r w:rsidR="005A15E2" w:rsidRPr="005406A6">
        <w:rPr>
          <w:spacing w:val="-7"/>
        </w:rPr>
        <w:t xml:space="preserve"> </w:t>
      </w:r>
      <w:r w:rsidR="005A15E2">
        <w:t>требовании</w:t>
      </w:r>
      <w:r w:rsidR="005A15E2" w:rsidRPr="005406A6">
        <w:rPr>
          <w:spacing w:val="-7"/>
        </w:rPr>
        <w:t xml:space="preserve"> </w:t>
      </w:r>
      <w:r w:rsidR="005A15E2" w:rsidRPr="005406A6">
        <w:t>сроки предоставлять</w:t>
      </w:r>
      <w:r w:rsidR="005A15E2" w:rsidRPr="005406A6">
        <w:rPr>
          <w:spacing w:val="8"/>
        </w:rPr>
        <w:t xml:space="preserve"> </w:t>
      </w:r>
      <w:r w:rsidR="005A15E2" w:rsidRPr="005406A6">
        <w:t>сведения</w:t>
      </w:r>
      <w:r w:rsidR="005A15E2" w:rsidRPr="005406A6">
        <w:rPr>
          <w:spacing w:val="8"/>
        </w:rPr>
        <w:t xml:space="preserve"> </w:t>
      </w:r>
      <w:r w:rsidR="005A15E2" w:rsidRPr="005406A6">
        <w:t>о</w:t>
      </w:r>
      <w:r w:rsidR="005A15E2" w:rsidRPr="005406A6">
        <w:rPr>
          <w:spacing w:val="21"/>
          <w:w w:val="99"/>
        </w:rPr>
        <w:t xml:space="preserve"> </w:t>
      </w:r>
      <w:r w:rsidR="005A15E2" w:rsidRPr="005406A6">
        <w:t>местном</w:t>
      </w:r>
      <w:r w:rsidR="005A15E2" w:rsidRPr="005406A6">
        <w:rPr>
          <w:spacing w:val="6"/>
        </w:rPr>
        <w:t xml:space="preserve"> </w:t>
      </w:r>
      <w:r w:rsidR="005A15E2" w:rsidRPr="005406A6">
        <w:t>содержании</w:t>
      </w:r>
      <w:r w:rsidR="005A15E2" w:rsidRPr="005406A6">
        <w:rPr>
          <w:spacing w:val="6"/>
        </w:rPr>
        <w:t xml:space="preserve"> </w:t>
      </w:r>
      <w:r w:rsidR="005A15E2" w:rsidRPr="005406A6">
        <w:t>в</w:t>
      </w:r>
      <w:r w:rsidR="005A15E2" w:rsidRPr="005406A6">
        <w:rPr>
          <w:spacing w:val="4"/>
        </w:rPr>
        <w:t xml:space="preserve"> </w:t>
      </w:r>
      <w:r w:rsidR="005A15E2" w:rsidRPr="005406A6">
        <w:t>Товарах</w:t>
      </w:r>
      <w:r w:rsidR="005A15E2" w:rsidRPr="005406A6">
        <w:rPr>
          <w:spacing w:val="5"/>
        </w:rPr>
        <w:t xml:space="preserve"> </w:t>
      </w:r>
      <w:r w:rsidR="005A15E2" w:rsidRPr="005406A6">
        <w:rPr>
          <w:spacing w:val="-1"/>
        </w:rPr>
        <w:t>по</w:t>
      </w:r>
      <w:r w:rsidR="005A15E2" w:rsidRPr="005406A6">
        <w:rPr>
          <w:spacing w:val="6"/>
        </w:rPr>
        <w:t xml:space="preserve"> </w:t>
      </w:r>
      <w:r w:rsidR="005A15E2" w:rsidRPr="005406A6">
        <w:t>форме,</w:t>
      </w:r>
      <w:r w:rsidR="005A15E2" w:rsidRPr="005406A6">
        <w:rPr>
          <w:spacing w:val="5"/>
        </w:rPr>
        <w:t xml:space="preserve"> </w:t>
      </w:r>
      <w:r w:rsidR="005A15E2" w:rsidRPr="005406A6">
        <w:t>установленной</w:t>
      </w:r>
      <w:r w:rsidR="005A15E2" w:rsidRPr="005406A6">
        <w:rPr>
          <w:spacing w:val="29"/>
          <w:w w:val="99"/>
        </w:rPr>
        <w:t xml:space="preserve"> </w:t>
      </w:r>
      <w:r w:rsidR="005A15E2" w:rsidRPr="005406A6">
        <w:t>в</w:t>
      </w:r>
      <w:r w:rsidR="005A15E2" w:rsidRPr="005406A6">
        <w:rPr>
          <w:spacing w:val="9"/>
        </w:rPr>
        <w:t xml:space="preserve"> </w:t>
      </w:r>
      <w:r w:rsidR="005A15E2" w:rsidRPr="005406A6">
        <w:t>Приложении</w:t>
      </w:r>
      <w:r w:rsidR="005A15E2" w:rsidRPr="005406A6">
        <w:rPr>
          <w:spacing w:val="8"/>
        </w:rPr>
        <w:t xml:space="preserve"> </w:t>
      </w:r>
      <w:r w:rsidR="005A15E2" w:rsidRPr="005406A6">
        <w:rPr>
          <w:spacing w:val="-1"/>
        </w:rPr>
        <w:t>№</w:t>
      </w:r>
      <w:r w:rsidR="00560880">
        <w:rPr>
          <w:spacing w:val="-1"/>
          <w:lang w:val="kk-KZ"/>
        </w:rPr>
        <w:t xml:space="preserve"> </w:t>
      </w:r>
      <w:r w:rsidR="005A15E2">
        <w:rPr>
          <w:spacing w:val="-1"/>
          <w:lang w:val="kk-KZ"/>
        </w:rPr>
        <w:t>2</w:t>
      </w:r>
      <w:r w:rsidR="005A15E2" w:rsidRPr="005406A6">
        <w:rPr>
          <w:spacing w:val="11"/>
        </w:rPr>
        <w:t xml:space="preserve"> </w:t>
      </w:r>
      <w:r w:rsidR="005A15E2" w:rsidRPr="005406A6">
        <w:t>к</w:t>
      </w:r>
      <w:r w:rsidR="005A15E2" w:rsidRPr="005406A6">
        <w:rPr>
          <w:spacing w:val="11"/>
        </w:rPr>
        <w:t xml:space="preserve"> </w:t>
      </w:r>
      <w:r w:rsidR="005A15E2" w:rsidRPr="005406A6">
        <w:t>Договору,</w:t>
      </w:r>
      <w:r w:rsidR="005A15E2" w:rsidRPr="005406A6">
        <w:rPr>
          <w:spacing w:val="10"/>
        </w:rPr>
        <w:t xml:space="preserve"> </w:t>
      </w:r>
      <w:r w:rsidR="005A15E2" w:rsidRPr="005406A6">
        <w:t>с</w:t>
      </w:r>
      <w:r w:rsidR="005A15E2" w:rsidRPr="005406A6">
        <w:rPr>
          <w:spacing w:val="10"/>
        </w:rPr>
        <w:t xml:space="preserve"> </w:t>
      </w:r>
      <w:r w:rsidR="005A15E2" w:rsidRPr="005406A6">
        <w:t>приложением</w:t>
      </w:r>
      <w:r w:rsidR="005A15E2" w:rsidRPr="005406A6">
        <w:rPr>
          <w:spacing w:val="24"/>
          <w:w w:val="99"/>
        </w:rPr>
        <w:t xml:space="preserve"> </w:t>
      </w:r>
      <w:r w:rsidR="005A15E2" w:rsidRPr="005406A6">
        <w:t>засвидетельствованных</w:t>
      </w:r>
      <w:r w:rsidR="005A15E2" w:rsidRPr="005406A6">
        <w:rPr>
          <w:spacing w:val="39"/>
        </w:rPr>
        <w:t xml:space="preserve"> </w:t>
      </w:r>
      <w:r w:rsidR="005A15E2" w:rsidRPr="005406A6">
        <w:rPr>
          <w:spacing w:val="-1"/>
        </w:rPr>
        <w:t>уполномоченным</w:t>
      </w:r>
      <w:r w:rsidR="005A15E2" w:rsidRPr="005406A6">
        <w:rPr>
          <w:spacing w:val="23"/>
          <w:w w:val="99"/>
        </w:rPr>
        <w:t xml:space="preserve"> </w:t>
      </w:r>
      <w:r w:rsidR="005A15E2" w:rsidRPr="005406A6">
        <w:rPr>
          <w:spacing w:val="-1"/>
        </w:rPr>
        <w:t>государственным</w:t>
      </w:r>
      <w:r w:rsidR="005A15E2" w:rsidRPr="005406A6">
        <w:rPr>
          <w:spacing w:val="6"/>
        </w:rPr>
        <w:t xml:space="preserve"> </w:t>
      </w:r>
      <w:r w:rsidR="005A15E2" w:rsidRPr="005406A6">
        <w:t>органом</w:t>
      </w:r>
      <w:r w:rsidR="005A15E2" w:rsidRPr="005406A6">
        <w:rPr>
          <w:spacing w:val="6"/>
        </w:rPr>
        <w:t xml:space="preserve"> </w:t>
      </w:r>
      <w:r w:rsidR="005A15E2" w:rsidRPr="005406A6">
        <w:t>копий</w:t>
      </w:r>
      <w:r w:rsidR="005A15E2" w:rsidRPr="005406A6">
        <w:rPr>
          <w:spacing w:val="4"/>
        </w:rPr>
        <w:t xml:space="preserve"> </w:t>
      </w:r>
      <w:r w:rsidR="005A15E2" w:rsidRPr="005406A6">
        <w:t>сертификатов</w:t>
      </w:r>
      <w:r w:rsidR="005A15E2" w:rsidRPr="005406A6">
        <w:rPr>
          <w:spacing w:val="7"/>
        </w:rPr>
        <w:t xml:space="preserve"> </w:t>
      </w:r>
      <w:r w:rsidR="005A15E2" w:rsidRPr="005406A6">
        <w:rPr>
          <w:spacing w:val="-1"/>
        </w:rPr>
        <w:t>СТ-KZ,</w:t>
      </w:r>
      <w:r w:rsidR="005A15E2" w:rsidRPr="005406A6">
        <w:rPr>
          <w:spacing w:val="44"/>
          <w:w w:val="99"/>
        </w:rPr>
        <w:t xml:space="preserve"> </w:t>
      </w:r>
      <w:r w:rsidR="005A15E2" w:rsidRPr="005406A6">
        <w:t>копий</w:t>
      </w:r>
      <w:r w:rsidR="005A15E2" w:rsidRPr="005406A6">
        <w:rPr>
          <w:spacing w:val="10"/>
        </w:rPr>
        <w:t xml:space="preserve"> </w:t>
      </w:r>
      <w:r w:rsidR="005A15E2" w:rsidRPr="005406A6">
        <w:t>иных</w:t>
      </w:r>
      <w:r w:rsidR="005A15E2" w:rsidRPr="005406A6">
        <w:rPr>
          <w:spacing w:val="12"/>
        </w:rPr>
        <w:t xml:space="preserve"> </w:t>
      </w:r>
      <w:r w:rsidR="005A15E2" w:rsidRPr="005406A6">
        <w:t>подтверждающих</w:t>
      </w:r>
      <w:r w:rsidR="005A15E2" w:rsidRPr="005406A6">
        <w:rPr>
          <w:spacing w:val="11"/>
        </w:rPr>
        <w:t xml:space="preserve"> </w:t>
      </w:r>
      <w:r w:rsidR="005A15E2" w:rsidRPr="005406A6">
        <w:t>документов</w:t>
      </w:r>
      <w:r w:rsidR="005A15E2" w:rsidRPr="005406A6">
        <w:rPr>
          <w:spacing w:val="11"/>
        </w:rPr>
        <w:t xml:space="preserve"> </w:t>
      </w:r>
      <w:r w:rsidR="005A15E2" w:rsidRPr="005406A6">
        <w:rPr>
          <w:spacing w:val="-1"/>
        </w:rPr>
        <w:t>до</w:t>
      </w:r>
      <w:r w:rsidR="005A15E2" w:rsidRPr="005406A6">
        <w:rPr>
          <w:spacing w:val="10"/>
        </w:rPr>
        <w:t xml:space="preserve"> </w:t>
      </w:r>
      <w:r w:rsidR="005A15E2" w:rsidRPr="005406A6">
        <w:t>окончательного</w:t>
      </w:r>
      <w:r w:rsidR="005A15E2" w:rsidRPr="005406A6">
        <w:rPr>
          <w:spacing w:val="26"/>
          <w:w w:val="99"/>
        </w:rPr>
        <w:t xml:space="preserve"> </w:t>
      </w:r>
      <w:r w:rsidR="005A15E2" w:rsidRPr="005406A6">
        <w:t>расчета</w:t>
      </w:r>
      <w:r w:rsidR="005A15E2" w:rsidRPr="005406A6">
        <w:rPr>
          <w:spacing w:val="31"/>
        </w:rPr>
        <w:t xml:space="preserve"> </w:t>
      </w:r>
      <w:r w:rsidR="005A15E2" w:rsidRPr="005406A6">
        <w:t>за</w:t>
      </w:r>
      <w:r w:rsidR="005A15E2" w:rsidRPr="005406A6">
        <w:rPr>
          <w:spacing w:val="32"/>
        </w:rPr>
        <w:t xml:space="preserve"> </w:t>
      </w:r>
      <w:r w:rsidR="005A15E2" w:rsidRPr="005406A6">
        <w:t>поставленный</w:t>
      </w:r>
      <w:r w:rsidR="005A15E2" w:rsidRPr="005406A6">
        <w:rPr>
          <w:spacing w:val="32"/>
        </w:rPr>
        <w:t xml:space="preserve"> </w:t>
      </w:r>
      <w:r w:rsidR="005A15E2">
        <w:t>Товар</w:t>
      </w:r>
      <w:r w:rsidRPr="005C35D8">
        <w:t>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>приложения №</w:t>
      </w:r>
      <w:r w:rsidR="00560880">
        <w:rPr>
          <w:lang w:val="kk-KZ"/>
        </w:rPr>
        <w:t xml:space="preserve"> </w:t>
      </w:r>
      <w:r w:rsidR="0000546C" w:rsidRPr="005C35D8">
        <w:t xml:space="preserve">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lastRenderedPageBreak/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 ___________</w:t>
      </w:r>
      <w:r w:rsidRPr="005C35D8">
        <w:rPr>
          <w:bCs/>
        </w:rPr>
        <w:t xml:space="preserve"> (____________________) 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Накладная, подписанные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C5681B" w:rsidRPr="005C35D8" w:rsidRDefault="00C5681B" w:rsidP="005C35D8">
      <w:pPr>
        <w:jc w:val="both"/>
      </w:pPr>
      <w:r w:rsidRPr="005C35D8">
        <w:t>Если законодательством Республики Казахстан предусмотрено, что</w:t>
      </w:r>
      <w:r w:rsidRPr="005C35D8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C35D8">
        <w:rPr>
          <w:color w:val="000000"/>
        </w:rPr>
        <w:t>Поставщик</w:t>
      </w:r>
      <w:r w:rsidRPr="005C35D8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C35D8" w:rsidRDefault="00C5681B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="00547E51" w:rsidRPr="005C35D8">
        <w:rPr>
          <w:b w:val="0"/>
          <w:spacing w:val="26"/>
          <w:w w:val="99"/>
          <w:lang w:val="kk-KZ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F412B1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- </w:t>
      </w:r>
      <w:r w:rsidR="00C5681B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C5681B" w:rsidRPr="005C35D8">
        <w:rPr>
          <w:b w:val="0"/>
        </w:rPr>
        <w:t>-</w:t>
      </w:r>
      <w:r w:rsidR="00C5681B" w:rsidRPr="005C35D8">
        <w:rPr>
          <w:b w:val="0"/>
          <w:spacing w:val="16"/>
        </w:rPr>
        <w:t xml:space="preserve"> </w:t>
      </w:r>
      <w:r w:rsidR="00C5681B" w:rsidRPr="005C35D8">
        <w:rPr>
          <w:b w:val="0"/>
        </w:rPr>
        <w:t>1</w:t>
      </w:r>
      <w:r w:rsidR="00C5681B" w:rsidRPr="005C35D8">
        <w:rPr>
          <w:b w:val="0"/>
          <w:spacing w:val="22"/>
        </w:rPr>
        <w:t xml:space="preserve"> </w:t>
      </w:r>
      <w:r w:rsidR="00C5681B" w:rsidRPr="005C35D8">
        <w:rPr>
          <w:b w:val="0"/>
        </w:rPr>
        <w:t>оригинал</w:t>
      </w:r>
      <w:r w:rsidR="00C5681B" w:rsidRPr="005C35D8">
        <w:rPr>
          <w:b w:val="0"/>
          <w:spacing w:val="18"/>
        </w:rPr>
        <w:t xml:space="preserve"> </w:t>
      </w:r>
      <w:r w:rsidR="00C5681B" w:rsidRPr="005C35D8">
        <w:rPr>
          <w:b w:val="0"/>
          <w:spacing w:val="1"/>
        </w:rPr>
        <w:t>или</w:t>
      </w:r>
      <w:r w:rsidR="00C5681B" w:rsidRPr="005C35D8">
        <w:rPr>
          <w:b w:val="0"/>
          <w:spacing w:val="26"/>
          <w:w w:val="99"/>
        </w:rPr>
        <w:t xml:space="preserve"> </w:t>
      </w:r>
      <w:r w:rsidR="00C5681B"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2D4D86" w:rsidRPr="005C35D8" w:rsidRDefault="002D4D86" w:rsidP="005C35D8">
      <w:pPr>
        <w:tabs>
          <w:tab w:val="left" w:pos="736"/>
        </w:tabs>
        <w:jc w:val="both"/>
        <w:rPr>
          <w:spacing w:val="-1"/>
        </w:rPr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lastRenderedPageBreak/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>
        <w:t>штраф</w:t>
      </w:r>
      <w:r w:rsidRPr="005C35D8">
        <w:t xml:space="preserve"> в размере 0,1% от цены Договора за каждый день просрочки,</w:t>
      </w:r>
      <w:r w:rsidR="0096025C">
        <w:t xml:space="preserve"> </w:t>
      </w:r>
      <w:r w:rsidR="0096025C" w:rsidRPr="005C35D8">
        <w:t>но не более 15 % от общей стоимости Договора</w:t>
      </w:r>
      <w:r w:rsidRPr="005C35D8">
        <w:t xml:space="preserve"> начиная с первого дня просрочки. </w:t>
      </w:r>
      <w:r w:rsidR="0096025C">
        <w:t>Штраф</w:t>
      </w:r>
      <w:r w:rsidRPr="005C35D8">
        <w:t xml:space="preserve"> может быть удержан при осуществлении оплаты за поставленный Товар.  </w:t>
      </w:r>
    </w:p>
    <w:p w:rsidR="00FE0D4B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Default="0096025C" w:rsidP="005C35D8">
      <w:pPr>
        <w:tabs>
          <w:tab w:val="left" w:pos="426"/>
        </w:tabs>
        <w:jc w:val="both"/>
      </w:pPr>
      <w:r>
        <w:t>7.4. За несвоевременное устранение Поставщиком выявленных Заказчиком несоответствий Товара по</w:t>
      </w:r>
      <w:r w:rsidRPr="00F75A70">
        <w:rPr>
          <w:color w:val="000000" w:themeColor="text1"/>
        </w:rPr>
        <w:t xml:space="preserve">  качеству, количеству и комплектности</w:t>
      </w:r>
      <w:r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Default="0096025C" w:rsidP="005C35D8">
      <w:pPr>
        <w:tabs>
          <w:tab w:val="left" w:pos="426"/>
        </w:tabs>
        <w:jc w:val="both"/>
      </w:pPr>
      <w:r>
        <w:t xml:space="preserve">7.5. </w:t>
      </w:r>
      <w:r w:rsidRPr="00F75A70">
        <w:rPr>
          <w:color w:val="000000" w:themeColor="text1"/>
        </w:rPr>
        <w:t>В случае есл</w:t>
      </w:r>
      <w:r>
        <w:rPr>
          <w:color w:val="000000" w:themeColor="text1"/>
        </w:rPr>
        <w:t xml:space="preserve">и заказчик не имея претензии к </w:t>
      </w:r>
      <w:r w:rsidRPr="00F75A70">
        <w:rPr>
          <w:color w:val="000000" w:themeColor="text1"/>
        </w:rPr>
        <w:t>качеству, количеству и комплектности Товара необоснованно не принимает Товар в сроки установленные пунктом 4.</w:t>
      </w:r>
      <w:r>
        <w:rPr>
          <w:color w:val="000000" w:themeColor="text1"/>
        </w:rPr>
        <w:t>7</w:t>
      </w:r>
      <w:r w:rsidRPr="00F75A7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75A70">
        <w:rPr>
          <w:color w:val="000000" w:themeColor="text1"/>
        </w:rPr>
        <w:t xml:space="preserve">настоящего Договора, Заказчик уплачивает Поставщику </w:t>
      </w:r>
      <w:r>
        <w:rPr>
          <w:color w:val="000000" w:themeColor="text1"/>
        </w:rPr>
        <w:t>штраф</w:t>
      </w:r>
      <w:r w:rsidRPr="00F75A70">
        <w:rPr>
          <w:color w:val="000000" w:themeColor="text1"/>
        </w:rPr>
        <w:t xml:space="preserve"> в размере 0,1% от стоимости несвоевременной принятого Товара за каждый день просрочки, но не более 15% от общей стоимости Договора</w:t>
      </w:r>
      <w:r>
        <w:rPr>
          <w:color w:val="000000" w:themeColor="text1"/>
        </w:rPr>
        <w:t>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6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7</w:t>
      </w:r>
      <w:r w:rsidRPr="005C35D8">
        <w:t>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</w:t>
      </w:r>
      <w:r w:rsidR="0096025C">
        <w:rPr>
          <w:snapToGrid w:val="0"/>
        </w:rPr>
        <w:t>8</w:t>
      </w:r>
      <w:r w:rsidRPr="005C35D8">
        <w:rPr>
          <w:snapToGrid w:val="0"/>
        </w:rPr>
        <w:t>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lastRenderedPageBreak/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>ухсторонних переговоров. При не достижении</w:t>
      </w:r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11.1. Стороны обязуется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lastRenderedPageBreak/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941EC8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 xml:space="preserve">8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5C35D8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941EC8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E33D0B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2A1D15" w:rsidRDefault="002A1D15" w:rsidP="00464094">
      <w:pPr>
        <w:ind w:left="5664"/>
        <w:rPr>
          <w:bCs/>
          <w:color w:val="000000"/>
        </w:rPr>
      </w:pPr>
    </w:p>
    <w:p w:rsidR="00464094" w:rsidRPr="0047431F" w:rsidRDefault="0047431F" w:rsidP="00464094">
      <w:pPr>
        <w:ind w:left="5664"/>
        <w:rPr>
          <w:bCs/>
          <w:color w:val="000000"/>
        </w:rPr>
      </w:pPr>
      <w:r>
        <w:rPr>
          <w:bCs/>
          <w:color w:val="000000"/>
        </w:rPr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455"/>
        <w:gridCol w:w="1533"/>
        <w:gridCol w:w="810"/>
        <w:gridCol w:w="823"/>
        <w:gridCol w:w="1212"/>
        <w:gridCol w:w="1240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5E6025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и 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92443B" w:rsidRPr="0058349B" w:rsidRDefault="0092443B" w:rsidP="0092443B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92443B" w:rsidRPr="0058349B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5C35D8" w:rsidTr="003E5E8A">
        <w:tc>
          <w:tcPr>
            <w:tcW w:w="4935" w:type="dxa"/>
          </w:tcPr>
          <w:p w:rsidR="00941EC8" w:rsidRPr="005C35D8" w:rsidRDefault="00941EC8" w:rsidP="003E5E8A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«Заказчик»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5C35D8">
              <w:rPr>
                <w:noProof/>
                <w:sz w:val="24"/>
                <w:szCs w:val="24"/>
              </w:rPr>
              <w:t>Керей Е.К.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5C35D8" w:rsidRDefault="00941EC8" w:rsidP="003E5E8A">
            <w:pPr>
              <w:jc w:val="center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«Поставщик»</w:t>
            </w:r>
          </w:p>
          <w:p w:rsidR="00941EC8" w:rsidRPr="005C35D8" w:rsidRDefault="00941EC8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941EC8" w:rsidRPr="005C35D8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5C35D8" w:rsidRDefault="00E33D0B" w:rsidP="003E5E8A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</w:t>
            </w:r>
            <w:bookmarkStart w:id="0" w:name="_GoBack"/>
            <w:bookmarkEnd w:id="0"/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A1D15">
      <w:pPr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5E" w:rsidRDefault="002B085E" w:rsidP="00CC205B">
      <w:r>
        <w:separator/>
      </w:r>
    </w:p>
  </w:endnote>
  <w:endnote w:type="continuationSeparator" w:id="0">
    <w:p w:rsidR="002B085E" w:rsidRDefault="002B085E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5E" w:rsidRDefault="002B085E" w:rsidP="00CC205B">
      <w:r>
        <w:separator/>
      </w:r>
    </w:p>
  </w:footnote>
  <w:footnote w:type="continuationSeparator" w:id="0">
    <w:p w:rsidR="002B085E" w:rsidRDefault="002B085E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805A8"/>
    <w:rsid w:val="0058349B"/>
    <w:rsid w:val="00584515"/>
    <w:rsid w:val="00592E12"/>
    <w:rsid w:val="00597498"/>
    <w:rsid w:val="005A15E2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4BF3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8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359</cp:revision>
  <cp:lastPrinted>2014-12-29T06:29:00Z</cp:lastPrinted>
  <dcterms:created xsi:type="dcterms:W3CDTF">2014-06-06T03:39:00Z</dcterms:created>
  <dcterms:modified xsi:type="dcterms:W3CDTF">2016-04-06T09:16:00Z</dcterms:modified>
</cp:coreProperties>
</file>